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7A33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33A08B7B" w14:textId="77777777" w:rsidR="00813FB0" w:rsidRDefault="00813FB0" w:rsidP="00813FB0">
      <w:pPr>
        <w:pBdr>
          <w:bottom w:val="single" w:sz="4" w:space="1" w:color="auto"/>
        </w:pBdr>
        <w:rPr>
          <w:b/>
          <w:bCs/>
        </w:rPr>
      </w:pPr>
    </w:p>
    <w:p w14:paraId="6FC88215" w14:textId="0E484C21" w:rsidR="00813FB0" w:rsidRPr="00813FB0" w:rsidRDefault="00813FB0" w:rsidP="0022574E">
      <w:pPr>
        <w:pBdr>
          <w:bottom w:val="single" w:sz="4" w:space="1" w:color="auto"/>
        </w:pBdr>
        <w:rPr>
          <w:b/>
          <w:bCs/>
        </w:rPr>
      </w:pPr>
      <w:r w:rsidRPr="00751637">
        <w:rPr>
          <w:b/>
          <w:bCs/>
        </w:rPr>
        <w:t xml:space="preserve">MATINAL A L'IVAP </w:t>
      </w:r>
      <w:r w:rsidR="006A0166" w:rsidRPr="00751637">
        <w:rPr>
          <w:b/>
          <w:bCs/>
        </w:rPr>
        <w:t xml:space="preserve">– </w:t>
      </w:r>
      <w:r w:rsidR="0022574E">
        <w:rPr>
          <w:b/>
          <w:bCs/>
        </w:rPr>
        <w:t>31</w:t>
      </w:r>
      <w:r w:rsidR="00D41C4B">
        <w:rPr>
          <w:b/>
          <w:bCs/>
        </w:rPr>
        <w:t>/05</w:t>
      </w:r>
      <w:r w:rsidR="00A52501">
        <w:rPr>
          <w:b/>
          <w:bCs/>
        </w:rPr>
        <w:t>/2023</w:t>
      </w:r>
      <w:r w:rsidRPr="00751637">
        <w:rPr>
          <w:b/>
          <w:bCs/>
        </w:rPr>
        <w:t xml:space="preserve"> - </w:t>
      </w:r>
      <w:r w:rsidR="0022574E" w:rsidRPr="0022574E">
        <w:rPr>
          <w:b/>
          <w:bCs/>
        </w:rPr>
        <w:t xml:space="preserve">PROTECCIÓN DE DATOS EN LAS CONSELLERIAS Y ENTIDADES </w:t>
      </w:r>
      <w:r w:rsidR="0022574E">
        <w:rPr>
          <w:b/>
          <w:bCs/>
        </w:rPr>
        <w:t>DEL SECTOR PÚBLCIO INSTRUMENTAL</w:t>
      </w:r>
      <w:r w:rsidR="0022574E" w:rsidRPr="0022574E">
        <w:rPr>
          <w:b/>
          <w:bCs/>
        </w:rPr>
        <w:t xml:space="preserve"> DE LAS MUJERES VÍCTIMAS DE VIOLENCIA</w:t>
      </w:r>
    </w:p>
    <w:p w14:paraId="3A169FE1" w14:textId="77777777" w:rsidR="00162A6C" w:rsidRDefault="00162A6C" w:rsidP="00162A6C">
      <w:pPr>
        <w:pStyle w:val="Prrafodelista"/>
        <w:ind w:left="284"/>
        <w:jc w:val="both"/>
      </w:pPr>
    </w:p>
    <w:p w14:paraId="045E8F76" w14:textId="77777777" w:rsidR="00162A6C" w:rsidRDefault="00162A6C" w:rsidP="00162A6C">
      <w:pPr>
        <w:pStyle w:val="Prrafodelista"/>
        <w:ind w:left="284"/>
        <w:jc w:val="both"/>
      </w:pPr>
    </w:p>
    <w:p w14:paraId="5343691C" w14:textId="60B3A90A" w:rsidR="00D41C4B" w:rsidRDefault="000C3752" w:rsidP="000C3752">
      <w:pPr>
        <w:pStyle w:val="Prrafodelista"/>
        <w:ind w:left="0"/>
        <w:jc w:val="both"/>
      </w:pPr>
      <w:r>
        <w:t>La infografía a la que se ha hecho referencia en la Matinal se puede encontrar en el siguiente enlace:</w:t>
      </w:r>
    </w:p>
    <w:p w14:paraId="199D7FD2" w14:textId="77777777" w:rsidR="000C3752" w:rsidRDefault="000C3752" w:rsidP="00D41C4B">
      <w:pPr>
        <w:pStyle w:val="Prrafodelista"/>
        <w:ind w:left="284"/>
        <w:jc w:val="both"/>
      </w:pPr>
    </w:p>
    <w:p w14:paraId="7AA2A931" w14:textId="63556943" w:rsidR="00D41C4B" w:rsidRDefault="00864802" w:rsidP="00D41C4B">
      <w:pPr>
        <w:pStyle w:val="Prrafodelista"/>
        <w:ind w:left="284"/>
        <w:jc w:val="both"/>
      </w:pPr>
      <w:hyperlink r:id="rId7" w:history="1">
        <w:r w:rsidR="000C3752" w:rsidRPr="000C3752">
          <w:rPr>
            <w:rStyle w:val="Hipervnculo"/>
          </w:rPr>
          <w:t>https://funciona.gva.es/es/web/proteccio-de-dades-personals/formacio</w:t>
        </w:r>
      </w:hyperlink>
    </w:p>
    <w:p w14:paraId="4BCC920B" w14:textId="77777777" w:rsidR="006A0166" w:rsidRDefault="006A0166" w:rsidP="006A0166"/>
    <w:p w14:paraId="23A250D9" w14:textId="045BC31A" w:rsidR="006A0166" w:rsidRPr="000A378F" w:rsidRDefault="000C3752" w:rsidP="000C3752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>
        <w:t>¿</w:t>
      </w:r>
      <w:r w:rsidRPr="000A378F">
        <w:rPr>
          <w:b/>
          <w:bCs/>
        </w:rPr>
        <w:t>Qué pasa si reclama una persona que no es víctima sobre la puntuación de otra persona que no se ve que es víctima de violencia de género?</w:t>
      </w:r>
    </w:p>
    <w:p w14:paraId="5C3A6B5D" w14:textId="77777777" w:rsidR="00470033" w:rsidRDefault="00470033" w:rsidP="00470033">
      <w:pPr>
        <w:ind w:left="284"/>
      </w:pPr>
      <w:r>
        <w:t xml:space="preserve">En la contestación a la solicitud de acceso al expediente por parte de otra persona interesada se debe dar la información, pero sin desvelar la situación particular de la mujer víctima. </w:t>
      </w:r>
    </w:p>
    <w:p w14:paraId="63CFB89C" w14:textId="66808E0F" w:rsidR="00470033" w:rsidRDefault="00470033" w:rsidP="00470033">
      <w:pPr>
        <w:ind w:left="284"/>
      </w:pPr>
      <w:r>
        <w:t xml:space="preserve">En la convocatoria, en aplicación del principio de protección de datos desde el diseño y por defecto, se debería indicar que los datos obtenidos como consecuencia de ser mujer víctima se agregarán a los correspondientes a otros apartados o bien se incluirán en un apartado que recoja distintas situaciones de especial vulnerabilidad </w:t>
      </w:r>
      <w:r w:rsidR="008F5923">
        <w:t>(víctimas de terrorismo, etc.). Debe ser el responsable el que determine el modo de proceder en función de la naturaleza, contexto, fines y naturaleza del procedimiento.</w:t>
      </w:r>
    </w:p>
    <w:p w14:paraId="26C10C3B" w14:textId="70FF05B5" w:rsidR="00470033" w:rsidRDefault="00470033" w:rsidP="00470033">
      <w:pPr>
        <w:ind w:left="284"/>
      </w:pPr>
      <w:r>
        <w:t xml:space="preserve">Si </w:t>
      </w:r>
      <w:r w:rsidR="008F5923">
        <w:t xml:space="preserve">con esta solución, </w:t>
      </w:r>
      <w:r>
        <w:t>la persona interesada ve vulnerado su derecho a la tutela judicial efectiva porque no puede</w:t>
      </w:r>
      <w:r w:rsidR="008F5923">
        <w:t xml:space="preserve"> conocer información de interés para su defensa, la guía recomienda que se requiera informe a la Delegación de Protección de Datos para ver cómo se debe operar. </w:t>
      </w:r>
    </w:p>
    <w:p w14:paraId="2566BA1F" w14:textId="3A1AC98D" w:rsidR="008F5923" w:rsidRDefault="008F5923" w:rsidP="00470033">
      <w:pPr>
        <w:ind w:left="284"/>
      </w:pPr>
      <w:r>
        <w:t xml:space="preserve">Ver páginas 46 y 47 de las </w:t>
      </w:r>
      <w:hyperlink r:id="rId8" w:history="1">
        <w:r w:rsidRPr="008F5923">
          <w:rPr>
            <w:rStyle w:val="Hipervnculo"/>
          </w:rPr>
          <w:t>Recomendaciones</w:t>
        </w:r>
      </w:hyperlink>
      <w:r>
        <w:t xml:space="preserve"> </w:t>
      </w:r>
    </w:p>
    <w:p w14:paraId="3F9DFCB8" w14:textId="77777777" w:rsidR="008F5923" w:rsidRDefault="008F5923" w:rsidP="00470033">
      <w:pPr>
        <w:ind w:left="284"/>
      </w:pPr>
      <w:r>
        <w:t>“</w:t>
      </w:r>
      <w:r w:rsidRPr="008F5923">
        <w:t>Por tanto, ante una solicitud de acceso a un expediente de concurrencia competitiva que contuviera información que revelase la condición de víctima de violencia de alguna mujer, se operará de la siguiente manera:</w:t>
      </w:r>
    </w:p>
    <w:p w14:paraId="0545A1ED" w14:textId="77777777" w:rsidR="008F5923" w:rsidRDefault="008F5923" w:rsidP="00470033">
      <w:pPr>
        <w:ind w:left="284"/>
      </w:pPr>
      <w:r w:rsidRPr="008F5923">
        <w:t xml:space="preserve"> - Se facilitará la información que necesite la persona interesada para ejercer su derecho a la tutela judicial efectiva, pero en ningún caso se facilitarán:</w:t>
      </w:r>
    </w:p>
    <w:p w14:paraId="4F2553E4" w14:textId="77777777" w:rsidR="008F5923" w:rsidRDefault="008F5923" w:rsidP="008F5923">
      <w:pPr>
        <w:ind w:left="284" w:firstLine="424"/>
      </w:pPr>
      <w:r w:rsidRPr="008F5923">
        <w:t xml:space="preserve"> o Los documentos que acrediten la condición de víctima de la mujer. </w:t>
      </w:r>
    </w:p>
    <w:p w14:paraId="177BD8DF" w14:textId="77777777" w:rsidR="008F5923" w:rsidRDefault="008F5923" w:rsidP="008F5923">
      <w:pPr>
        <w:ind w:left="284" w:firstLine="424"/>
      </w:pPr>
      <w:r w:rsidRPr="008F5923">
        <w:t xml:space="preserve">o Los formularios o aquella parte de estos donde se declare la condición de víctima a los efectos de exención de tasas, protección física, oposición a la publicación de sus datos o cualquier otra circunstancia. </w:t>
      </w:r>
    </w:p>
    <w:p w14:paraId="5AB2A373" w14:textId="77777777" w:rsidR="008F5923" w:rsidRDefault="008F5923" w:rsidP="008F5923">
      <w:pPr>
        <w:ind w:left="284" w:firstLine="424"/>
      </w:pPr>
      <w:r w:rsidRPr="008F5923">
        <w:lastRenderedPageBreak/>
        <w:t xml:space="preserve">- Cuando la condición de víctima fuera objeto de puntuación en algún baremo o condición de desempate, el órgano competente facilitará la información de manera que no quede revelada su situación particular de vulnerabilidad. </w:t>
      </w:r>
    </w:p>
    <w:p w14:paraId="1E356F5E" w14:textId="2CB81885" w:rsidR="008F5923" w:rsidRDefault="008F5923" w:rsidP="008F5923">
      <w:pPr>
        <w:ind w:left="284" w:firstLine="424"/>
      </w:pPr>
      <w:r w:rsidRPr="008F5923">
        <w:t>Si estas medidas no fueran suficientes para satisfacer los derechos de la persona interesada en la defensa a su tutela judicial efectiva, se requerirá informe a la Delegación de Protección de Datos de la Generalitat para la ponderación de los derechos afectados en el acceso por parte de la persona interesada al expediente</w:t>
      </w:r>
      <w:r>
        <w:t>”</w:t>
      </w:r>
      <w:r w:rsidRPr="008F5923">
        <w:t>.</w:t>
      </w:r>
    </w:p>
    <w:p w14:paraId="720A3E1F" w14:textId="0DFE271F" w:rsidR="00EC05F3" w:rsidRDefault="00EC05F3" w:rsidP="00EC05F3">
      <w:pPr>
        <w:pStyle w:val="Prrafodelista"/>
        <w:ind w:left="284"/>
      </w:pPr>
    </w:p>
    <w:p w14:paraId="224F9EDD" w14:textId="30B30442" w:rsidR="00EC05F3" w:rsidRDefault="00EC05F3" w:rsidP="00EC05F3">
      <w:pPr>
        <w:pStyle w:val="Prrafodelista"/>
        <w:numPr>
          <w:ilvl w:val="0"/>
          <w:numId w:val="6"/>
        </w:numPr>
        <w:ind w:left="284" w:hanging="284"/>
      </w:pPr>
      <w:r w:rsidRPr="00EC05F3">
        <w:t>Más allá de instrucciones o guías de la AEPD ¿Existe una normativa en fase de elaboración sobre protección de datos en materia de violencia de género en el ámbito estatal?</w:t>
      </w:r>
    </w:p>
    <w:p w14:paraId="33E4CDDB" w14:textId="0F15BF52" w:rsidR="008F5923" w:rsidRPr="008F5923" w:rsidRDefault="008F5923" w:rsidP="008F5923">
      <w:r w:rsidRPr="008F5923">
        <w:t xml:space="preserve">La disposición adicional séptima de la Ley Orgánica 3/2018, de 5 de diciembre, de Protección de Datos Personales y garantía de los derechos digitales. </w:t>
      </w:r>
      <w:r w:rsidRPr="008F5923">
        <w:rPr>
          <w:i/>
          <w:iCs/>
        </w:rPr>
        <w:t>Identificación de los interesados en las notificaciones por medio de anuncios y publicaciones de actos administrativos</w:t>
      </w:r>
      <w:r>
        <w:rPr>
          <w:i/>
          <w:iCs/>
        </w:rPr>
        <w:t xml:space="preserve">, </w:t>
      </w:r>
      <w:r>
        <w:t>en su apartado 2 establece lo siguiente:</w:t>
      </w:r>
    </w:p>
    <w:p w14:paraId="3EDE594C" w14:textId="477EE102" w:rsidR="008F5923" w:rsidRDefault="008F5923" w:rsidP="008F5923">
      <w:r>
        <w:t>“</w:t>
      </w:r>
      <w:r w:rsidRPr="008F5923">
        <w:t>2. A fin de prevenir riesgos para víctimas de violencia de género, el Gobierno impulsará la elaboración de un protocolo de colaboración que defina procedimientos seguros de publicación y notificación de actos administrativos, con la participación de los órganos con competencia en la materia</w:t>
      </w:r>
      <w:r>
        <w:t>”</w:t>
      </w:r>
      <w:r w:rsidRPr="008F5923">
        <w:t>.</w:t>
      </w:r>
    </w:p>
    <w:p w14:paraId="698AE5A9" w14:textId="7BAA6571" w:rsidR="008F5923" w:rsidRPr="008F5923" w:rsidRDefault="008F5923" w:rsidP="008F5923">
      <w:r>
        <w:t xml:space="preserve">Hasta la fecha no se ha publicado este protocolo y desde la AEPD no se nos ha facilitado el estado de tramitación. </w:t>
      </w:r>
    </w:p>
    <w:p w14:paraId="422719A1" w14:textId="77777777" w:rsidR="00EC05F3" w:rsidRDefault="00EC05F3" w:rsidP="00EC05F3">
      <w:pPr>
        <w:pStyle w:val="Prrafodelista"/>
        <w:ind w:left="284"/>
      </w:pPr>
    </w:p>
    <w:p w14:paraId="442A4B0E" w14:textId="53029457" w:rsidR="00EC05F3" w:rsidRPr="000A378F" w:rsidRDefault="00EC05F3" w:rsidP="00EC05F3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 w:rsidRPr="000A378F">
        <w:rPr>
          <w:b/>
          <w:bCs/>
        </w:rPr>
        <w:t>Para que en una oposición te valoren la puntuación como víctima de violencia de género, ¿cómo hay que comunicar que eres víctima?</w:t>
      </w:r>
    </w:p>
    <w:p w14:paraId="2501A3DA" w14:textId="77777777" w:rsidR="008F5923" w:rsidRDefault="008F5923" w:rsidP="008F5923">
      <w:pPr>
        <w:pStyle w:val="Prrafodelista"/>
        <w:ind w:left="284"/>
      </w:pPr>
    </w:p>
    <w:p w14:paraId="69194A33" w14:textId="5867CC08" w:rsidR="00263397" w:rsidRDefault="00263397" w:rsidP="00681FBF">
      <w:r>
        <w:t xml:space="preserve">Hay que atender a lo dispuesto </w:t>
      </w:r>
      <w:proofErr w:type="gramStart"/>
      <w:r>
        <w:t xml:space="preserve">en </w:t>
      </w:r>
      <w:r w:rsidR="008F5923">
        <w:t xml:space="preserve"> la</w:t>
      </w:r>
      <w:proofErr w:type="gramEnd"/>
      <w:r w:rsidR="008F5923">
        <w:t xml:space="preserve"> convocatoria</w:t>
      </w:r>
      <w:r>
        <w:t xml:space="preserve"> correspondiente</w:t>
      </w:r>
      <w:r w:rsidR="00064F81">
        <w:t xml:space="preserve">. </w:t>
      </w:r>
    </w:p>
    <w:p w14:paraId="6CE05C48" w14:textId="2ACF2DB5" w:rsidR="00064F81" w:rsidRPr="00064F81" w:rsidRDefault="00064F81" w:rsidP="00681FBF">
      <w:r>
        <w:t xml:space="preserve">La Ley </w:t>
      </w:r>
      <w:r w:rsidRPr="00064F81">
        <w:t xml:space="preserve">7/2012, de 23 de noviembre, integral contra la violencia sobre la mujer en el ámbito de la </w:t>
      </w:r>
      <w:proofErr w:type="spellStart"/>
      <w:r w:rsidRPr="00064F81">
        <w:t>Comunitat</w:t>
      </w:r>
      <w:proofErr w:type="spellEnd"/>
      <w:r w:rsidRPr="00064F81">
        <w:t xml:space="preserve"> Valenciana</w:t>
      </w:r>
      <w:r>
        <w:t xml:space="preserve">, señala lo siguiente </w:t>
      </w:r>
      <w:r w:rsidR="008A60C6">
        <w:t xml:space="preserve">en su artículo 9 </w:t>
      </w:r>
      <w:r>
        <w:t>respecto de la acreditación de la condición de víctima de violencia sobre la mujer:</w:t>
      </w:r>
    </w:p>
    <w:p w14:paraId="3BEB7596" w14:textId="0A40FD6F" w:rsidR="00064F81" w:rsidRPr="00064F81" w:rsidRDefault="00681FBF" w:rsidP="00681FBF">
      <w:r>
        <w:t>“</w:t>
      </w:r>
      <w:r w:rsidR="00064F81" w:rsidRPr="00064F81">
        <w:t>Serán medios de prueba para la acreditación y la prestación de las coberturas garantizadas en esta ley los siguientes:</w:t>
      </w:r>
    </w:p>
    <w:p w14:paraId="530AD4F5" w14:textId="77777777" w:rsidR="00064F81" w:rsidRPr="00064F81" w:rsidRDefault="00064F81" w:rsidP="00681FBF">
      <w:r w:rsidRPr="00064F81">
        <w:t>1. Cualquier resolución judicial que reconozca, aunque solo sea de forma indiciaria o incidental, la existencia de un acto de violencia sobre la mujer previsto en esta ley.</w:t>
      </w:r>
    </w:p>
    <w:p w14:paraId="61989032" w14:textId="77777777" w:rsidR="00064F81" w:rsidRPr="00064F81" w:rsidRDefault="00064F81" w:rsidP="00681FBF">
      <w:r w:rsidRPr="00064F81">
        <w:t>2. El informe del Ministerio Fiscal cuando del contenido se desprenda que hay indicios que la demandante es víctima de esta violencia o la acreditación de presentación de un atestado policial.</w:t>
      </w:r>
    </w:p>
    <w:p w14:paraId="34E0BC29" w14:textId="79D0478B" w:rsidR="00064F81" w:rsidRPr="00064F81" w:rsidRDefault="00064F81" w:rsidP="00681FBF">
      <w:r w:rsidRPr="00064F81">
        <w:lastRenderedPageBreak/>
        <w:t>3. El certificado acreditativo de atención especializada por un organismo público competente en materia de violencia sobre la mujer</w:t>
      </w:r>
      <w:r>
        <w:t>”</w:t>
      </w:r>
      <w:r w:rsidRPr="00064F81">
        <w:t>.</w:t>
      </w:r>
    </w:p>
    <w:p w14:paraId="0E555BAB" w14:textId="2C9F3D3F" w:rsidR="008F5923" w:rsidRDefault="008F5923" w:rsidP="008F5923">
      <w:pPr>
        <w:pStyle w:val="Prrafodelista"/>
        <w:ind w:left="284"/>
      </w:pPr>
    </w:p>
    <w:p w14:paraId="5F686834" w14:textId="77777777" w:rsidR="00EC05F3" w:rsidRDefault="00EC05F3" w:rsidP="00EC05F3">
      <w:pPr>
        <w:pStyle w:val="Prrafodelista"/>
      </w:pPr>
    </w:p>
    <w:p w14:paraId="054C6918" w14:textId="36BE39DB" w:rsidR="00EC05F3" w:rsidRPr="000A378F" w:rsidRDefault="00EC05F3" w:rsidP="00EC05F3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 w:rsidRPr="000A378F">
        <w:rPr>
          <w:b/>
          <w:bCs/>
        </w:rPr>
        <w:t>Trabajo en ayudas generales ¿cuándo estará la guía para notificaciones y publicaciones?</w:t>
      </w:r>
    </w:p>
    <w:p w14:paraId="3ABE50BD" w14:textId="36AED6D5" w:rsidR="00064F81" w:rsidRDefault="00064F81" w:rsidP="00064F81">
      <w:r>
        <w:t xml:space="preserve">La guía protección de datos en las notificaciones y publicaciones de actos administrativos está ya redactada y solo falta que las pruebas </w:t>
      </w:r>
      <w:r w:rsidR="00263397">
        <w:t>de</w:t>
      </w:r>
      <w:r>
        <w:t xml:space="preserve"> la DGTIC para poder llevar a cabo la desindexación por defecto se terminen. Espero que en menos de un mes. </w:t>
      </w:r>
    </w:p>
    <w:p w14:paraId="3FE116CB" w14:textId="6E5F593E" w:rsidR="00064F81" w:rsidRDefault="00064F81" w:rsidP="00064F81">
      <w:r>
        <w:t xml:space="preserve">De todas formas, existe una guía específica en materia de ayudas y subvenciones que también te puede ser útil: </w:t>
      </w:r>
      <w:hyperlink r:id="rId9" w:history="1">
        <w:r w:rsidRPr="00864802">
          <w:rPr>
            <w:rStyle w:val="Hipervnculo"/>
          </w:rPr>
          <w:t>https://funciona.gva.es/documents/172868368/175543380/04_Recomendaciones+subvenciones_10+de+marzo+de+2023/</w:t>
        </w:r>
        <w:r w:rsidRPr="00864802">
          <w:rPr>
            <w:rStyle w:val="Hipervnculo"/>
          </w:rPr>
          <w:t>7</w:t>
        </w:r>
        <w:r w:rsidRPr="00864802">
          <w:rPr>
            <w:rStyle w:val="Hipervnculo"/>
          </w:rPr>
          <w:t>9ac5e76-0c42-4fd7-a3b2-f95b5377756f</w:t>
        </w:r>
      </w:hyperlink>
    </w:p>
    <w:p w14:paraId="20D5F944" w14:textId="77777777" w:rsidR="00EC05F3" w:rsidRDefault="00EC05F3" w:rsidP="00EC05F3">
      <w:pPr>
        <w:pStyle w:val="Prrafodelista"/>
      </w:pPr>
    </w:p>
    <w:p w14:paraId="11AC7A21" w14:textId="583A97F1" w:rsidR="00EC05F3" w:rsidRPr="000A378F" w:rsidRDefault="00EC05F3" w:rsidP="00EC05F3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 w:rsidRPr="000A378F">
        <w:rPr>
          <w:b/>
          <w:bCs/>
        </w:rPr>
        <w:t>Nosotros publicamos un listado de beneficiarios/as víctimas de violencia de género, con el DNI/NIE con asteriscos: 2433****J, y luego apellidos y nombre con las iniciales F, CH, J y posteriormente les enviamos una notificación personalizada a través del registro.</w:t>
      </w:r>
    </w:p>
    <w:p w14:paraId="2051E3CD" w14:textId="1FD8D606" w:rsidR="00257D14" w:rsidRDefault="00257D14" w:rsidP="00064F81">
      <w:r>
        <w:t>En la guía de ayudas y subvenciones en materia de protección de datos, disponible (</w:t>
      </w:r>
      <w:hyperlink r:id="rId10" w:history="1">
        <w:r w:rsidRPr="00EA438A">
          <w:rPr>
            <w:rStyle w:val="Hipervnculo"/>
          </w:rPr>
          <w:t>https://funciona.gva.es/documents/172868368/175543380/04_Recomendaciones+subvenciones_10+de+marzo+de+2023/79ac5e76-0c42-4fd7-a3b2-f95b5377756f</w:t>
        </w:r>
      </w:hyperlink>
      <w:r>
        <w:t xml:space="preserve">), tenemos la siguiente información (páginas 12 y 13) </w:t>
      </w:r>
    </w:p>
    <w:p w14:paraId="371AA4F1" w14:textId="51E2ADA5" w:rsidR="00257D14" w:rsidRDefault="00257D14" w:rsidP="00064F81">
      <w:r>
        <w:t xml:space="preserve">“Si como consecuencia del objeto de la convocatoria o de la recogida de datos para la gestión de la subvención se realizan tratamientos de categorías especiales de datos o de información que refleje situaciones de especial vulnerabilidad (menores, víctimas de violencia de género, etc.), no podrá procederse a la publicación de sus datos de forma que se les identifique, ni siquiera a efectos de notificación. Así, deberá incluirse en la convocatoria lo siguiente: </w:t>
      </w:r>
    </w:p>
    <w:p w14:paraId="0B99CC7C" w14:textId="77777777" w:rsidR="00257D14" w:rsidRDefault="00257D14" w:rsidP="00064F81">
      <w:r>
        <w:t xml:space="preserve">Publicidad de los actos administrativos </w:t>
      </w:r>
    </w:p>
    <w:p w14:paraId="2BF4B4D1" w14:textId="77777777" w:rsidR="00257D14" w:rsidRDefault="00257D14" w:rsidP="00064F81">
      <w:r>
        <w:t>La gestión de estas ayudas supone el tratamiento de datos de categorías especiales o de colectivos vulnerables. En consecuencia, se adoptarán las siguientes medidas:</w:t>
      </w:r>
    </w:p>
    <w:p w14:paraId="7DB1C57F" w14:textId="77777777" w:rsidR="00257D14" w:rsidRDefault="00257D14" w:rsidP="00064F81">
      <w:r>
        <w:t xml:space="preserve"> - La publicación con efectos de notificación se realizará de acuerdo con lo establecido en el artículo 46 de la Ley 39/2015 o de forma que no se pueda identificar a las personas beneficiarias. </w:t>
      </w:r>
    </w:p>
    <w:p w14:paraId="1728C5EB" w14:textId="444C7C8C" w:rsidR="00257D14" w:rsidRDefault="00257D14" w:rsidP="00064F81">
      <w:r>
        <w:t xml:space="preserve">- No se publicarán en el portal de transparencia o la publicación se realizará con garantías de </w:t>
      </w:r>
      <w:proofErr w:type="spellStart"/>
      <w:r>
        <w:t>anonimización</w:t>
      </w:r>
      <w:proofErr w:type="spellEnd"/>
      <w:r>
        <w:t>”.</w:t>
      </w:r>
    </w:p>
    <w:p w14:paraId="4552E319" w14:textId="17DF0090" w:rsidR="00257D14" w:rsidRDefault="00257D14" w:rsidP="00064F81"/>
    <w:p w14:paraId="61255CEB" w14:textId="2FDA30F1" w:rsidR="00257D14" w:rsidRDefault="00257D14" w:rsidP="00064F81">
      <w:r>
        <w:lastRenderedPageBreak/>
        <w:t>Asimismo, es importante consultar las páginas 36 y 37 de las Recomendaciones objeto de la matinal ya que, en el contenido de la convocatoria se recomienda incluir, entre otros, aspectos lo siguiente:</w:t>
      </w:r>
    </w:p>
    <w:p w14:paraId="60946D75" w14:textId="39380E86" w:rsidR="00257D14" w:rsidRDefault="00257D14" w:rsidP="00064F81"/>
    <w:p w14:paraId="174566BA" w14:textId="77777777" w:rsidR="008A60C6" w:rsidRDefault="00257D14" w:rsidP="00064F81">
      <w:r>
        <w:t>“h) (</w:t>
      </w:r>
      <w:r w:rsidRPr="00263397">
        <w:rPr>
          <w:color w:val="FF0000"/>
        </w:rPr>
        <w:t>En el caso de que las ayudas no sean de concurrencia competitiva</w:t>
      </w:r>
      <w:r>
        <w:t xml:space="preserve">) La resolución será notificada individualmente a la persona interesada. </w:t>
      </w:r>
    </w:p>
    <w:p w14:paraId="6EFB10D0" w14:textId="77777777" w:rsidR="00263397" w:rsidRDefault="00257D14" w:rsidP="00064F81">
      <w:r>
        <w:t xml:space="preserve">Estas resoluciones no serán objeto de publicación en el </w:t>
      </w:r>
      <w:proofErr w:type="spellStart"/>
      <w:r>
        <w:t>Diari</w:t>
      </w:r>
      <w:proofErr w:type="spellEnd"/>
      <w:r>
        <w:t xml:space="preserve"> Oficial de la Generalitat Valenciana, ni el portal de transparencia de la Generalitat. </w:t>
      </w:r>
    </w:p>
    <w:p w14:paraId="36920F89" w14:textId="63773362" w:rsidR="00257D14" w:rsidRDefault="00257D14" w:rsidP="00064F81">
      <w:r w:rsidRPr="00263397">
        <w:rPr>
          <w:color w:val="FF0000"/>
        </w:rPr>
        <w:t xml:space="preserve">(En el caso de que las ayudas sean de concurrencia competitiva) </w:t>
      </w:r>
      <w:r>
        <w:t xml:space="preserve">Dado que la publicación de la resolución de adjudicación de las ayudas en el </w:t>
      </w:r>
      <w:proofErr w:type="spellStart"/>
      <w:r>
        <w:t>Diari</w:t>
      </w:r>
      <w:proofErr w:type="spellEnd"/>
      <w:r>
        <w:t xml:space="preserve"> Oficial de la Generalitat Valenciana (DOGV) lesionaría derechos e intereses legítimos de las mujeres víctimas de violencia, en el DOGV se indicará que la resolución por la que se conceden las ayudas correspondientes a la convocatoria XX será debidamente notificada a las personas beneficiarias, de conformidad con lo dispuesto en el artículo 46 de la Ley 39/2015, de 1 de octubre”.</w:t>
      </w:r>
    </w:p>
    <w:p w14:paraId="78380865" w14:textId="25B3D3EF" w:rsidR="00257D14" w:rsidRPr="00263397" w:rsidRDefault="00257D14" w:rsidP="00263397">
      <w:pPr>
        <w:jc w:val="both"/>
        <w:rPr>
          <w:u w:val="single"/>
        </w:rPr>
      </w:pPr>
      <w:r w:rsidRPr="00263397">
        <w:rPr>
          <w:u w:val="single"/>
        </w:rPr>
        <w:t>Por tanto, si es necesaria la publicación</w:t>
      </w:r>
      <w:r w:rsidR="00263397">
        <w:rPr>
          <w:u w:val="single"/>
        </w:rPr>
        <w:t xml:space="preserve"> por ser ayudas de concurrencia competitiva</w:t>
      </w:r>
      <w:r w:rsidRPr="00263397">
        <w:rPr>
          <w:u w:val="single"/>
        </w:rPr>
        <w:t xml:space="preserve">, </w:t>
      </w:r>
      <w:r w:rsidR="00681FBF" w:rsidRPr="00263397">
        <w:rPr>
          <w:u w:val="single"/>
        </w:rPr>
        <w:t>recomendamos aplicar</w:t>
      </w:r>
      <w:r w:rsidRPr="00263397">
        <w:rPr>
          <w:u w:val="single"/>
        </w:rPr>
        <w:t xml:space="preserve"> lo dispuesto en el artículo 46 de la Ley 39/2015 porque con la </w:t>
      </w:r>
      <w:proofErr w:type="spellStart"/>
      <w:r w:rsidRPr="00263397">
        <w:rPr>
          <w:u w:val="single"/>
        </w:rPr>
        <w:t>seudonimización</w:t>
      </w:r>
      <w:proofErr w:type="spellEnd"/>
      <w:r w:rsidRPr="00263397">
        <w:rPr>
          <w:u w:val="single"/>
        </w:rPr>
        <w:t xml:space="preserve"> descrita </w:t>
      </w:r>
      <w:r w:rsidR="00681FBF" w:rsidRPr="00263397">
        <w:rPr>
          <w:u w:val="single"/>
        </w:rPr>
        <w:t>podría no ser suficiente para garantizar los derechos de la mujer víctima.</w:t>
      </w:r>
    </w:p>
    <w:p w14:paraId="65B55C90" w14:textId="0AB637C3" w:rsidR="00257D14" w:rsidRPr="00257D14" w:rsidRDefault="00257D14" w:rsidP="00257D14">
      <w:r w:rsidRPr="00257D14">
        <w:t>“Artículo 46. Indicación de notificaciones y publicaciones.</w:t>
      </w:r>
    </w:p>
    <w:p w14:paraId="79ACF2A6" w14:textId="77777777" w:rsidR="00257D14" w:rsidRPr="00257D14" w:rsidRDefault="00257D14" w:rsidP="00257D14">
      <w:r w:rsidRPr="00257D14">
        <w:t xml:space="preserve">Si el órgano competente apreciase que la notificación por medio de anuncios o la publicación de un acto lesiona derechos o intereses legítimos, </w:t>
      </w:r>
      <w:r w:rsidRPr="00257D14">
        <w:rPr>
          <w:u w:val="single"/>
        </w:rPr>
        <w:t>se limitará a publicar en el Diario oficial que corresponda una somera indicación del contenido del acto y del lugar donde los interesados</w:t>
      </w:r>
      <w:r w:rsidRPr="00257D14">
        <w:t xml:space="preserve"> podrán comparecer, en el plazo que se establezca, para conocimiento del contenido íntegro del mencionado acto y constancia de tal conocimiento.</w:t>
      </w:r>
    </w:p>
    <w:p w14:paraId="7AE5D18C" w14:textId="423756A8" w:rsidR="00257D14" w:rsidRPr="00257D14" w:rsidRDefault="00257D14" w:rsidP="00257D14">
      <w:r w:rsidRPr="00257D14">
        <w:t>Adicionalmente y de manera facultativa, las Administraciones podrán establecer otras formas de notificación complementarias a través de los restantes medios de difusión que no excluirán la obligación de publicar en el correspondiente Diario oficial</w:t>
      </w:r>
      <w:r>
        <w:t>”</w:t>
      </w:r>
      <w:r w:rsidRPr="00257D14">
        <w:t>.</w:t>
      </w:r>
    </w:p>
    <w:p w14:paraId="334C9F3A" w14:textId="77777777" w:rsidR="00EC05F3" w:rsidRDefault="00EC05F3" w:rsidP="00EC05F3">
      <w:pPr>
        <w:pStyle w:val="Prrafodelista"/>
      </w:pPr>
    </w:p>
    <w:p w14:paraId="69CB3211" w14:textId="0D99DE8F" w:rsidR="00EC05F3" w:rsidRPr="00263397" w:rsidRDefault="00EC05F3" w:rsidP="00EC05F3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 w:rsidRPr="00263397">
        <w:rPr>
          <w:b/>
          <w:bCs/>
        </w:rPr>
        <w:t>Para mi reducción de jornada por víctima de género me comentaron que en el decreto 42/2019 indica que tengo que adjuntar un reconocimiento de la entidad DONA además de la sentencia ¿es cierto?</w:t>
      </w:r>
    </w:p>
    <w:p w14:paraId="02C3627A" w14:textId="77777777" w:rsidR="008A60C6" w:rsidRDefault="00681FBF" w:rsidP="00681FBF">
      <w:r>
        <w:t xml:space="preserve">Esto pregunta está fuera de nuestro conocimiento y competencias.  </w:t>
      </w:r>
    </w:p>
    <w:p w14:paraId="3AE14AA4" w14:textId="5BAB6062" w:rsidR="00681FBF" w:rsidRPr="00681FBF" w:rsidRDefault="00681FBF" w:rsidP="00681FBF">
      <w:r w:rsidRPr="00681FBF">
        <w:t xml:space="preserve">La Ley 7/2012, de 23 de noviembre, integral contra la violencia sobre la mujer en el ámbito de la </w:t>
      </w:r>
      <w:proofErr w:type="spellStart"/>
      <w:r w:rsidRPr="00681FBF">
        <w:t>Comunitat</w:t>
      </w:r>
      <w:proofErr w:type="spellEnd"/>
      <w:r w:rsidRPr="00681FBF">
        <w:t xml:space="preserve"> Valenciana, señala lo siguiente respecto de la acreditación de la condición de víctima de violencia sobre la mujer</w:t>
      </w:r>
      <w:r>
        <w:t xml:space="preserve"> en su artículo</w:t>
      </w:r>
      <w:r w:rsidR="008A60C6">
        <w:t xml:space="preserve"> 9</w:t>
      </w:r>
      <w:r w:rsidRPr="00681FBF">
        <w:t>:</w:t>
      </w:r>
    </w:p>
    <w:p w14:paraId="6FF9564F" w14:textId="77777777" w:rsidR="00681FBF" w:rsidRPr="00681FBF" w:rsidRDefault="00681FBF" w:rsidP="00681FBF">
      <w:r w:rsidRPr="00681FBF">
        <w:lastRenderedPageBreak/>
        <w:t>“Serán medios de prueba para la acreditación y la prestación de las coberturas garantizadas en esta ley los siguientes:</w:t>
      </w:r>
    </w:p>
    <w:p w14:paraId="4B7101A5" w14:textId="77777777" w:rsidR="00681FBF" w:rsidRPr="00681FBF" w:rsidRDefault="00681FBF" w:rsidP="00681FBF">
      <w:r w:rsidRPr="00681FBF">
        <w:t>1. Cualquier resolución judicial que reconozca, aunque solo sea de forma indiciaria o incidental, la existencia de un acto de violencia sobre la mujer previsto en esta ley.</w:t>
      </w:r>
    </w:p>
    <w:p w14:paraId="4958F4FA" w14:textId="77777777" w:rsidR="00681FBF" w:rsidRPr="00681FBF" w:rsidRDefault="00681FBF" w:rsidP="00681FBF">
      <w:r w:rsidRPr="00681FBF">
        <w:t>2. El informe del Ministerio Fiscal cuando del contenido se desprenda que hay indicios que la demandante es víctima de esta violencia o la acreditación de presentación de un atestado policial.</w:t>
      </w:r>
    </w:p>
    <w:p w14:paraId="74BAF315" w14:textId="77777777" w:rsidR="00681FBF" w:rsidRPr="00681FBF" w:rsidRDefault="00681FBF" w:rsidP="00681FBF">
      <w:r w:rsidRPr="00681FBF">
        <w:t>3. El certificado acreditativo de atención especializada por un organismo público competente en materia de violencia sobre la mujer”.</w:t>
      </w:r>
    </w:p>
    <w:p w14:paraId="03BC0945" w14:textId="183BF006" w:rsidR="00681FBF" w:rsidRPr="008A60C6" w:rsidRDefault="008A60C6" w:rsidP="00681FBF">
      <w:pPr>
        <w:rPr>
          <w:u w:val="single"/>
        </w:rPr>
      </w:pPr>
      <w:r w:rsidRPr="008A60C6">
        <w:rPr>
          <w:u w:val="single"/>
        </w:rPr>
        <w:t>No obstante, se debe</w:t>
      </w:r>
      <w:r>
        <w:rPr>
          <w:u w:val="single"/>
        </w:rPr>
        <w:t>rá</w:t>
      </w:r>
      <w:r w:rsidRPr="008A60C6">
        <w:rPr>
          <w:u w:val="single"/>
        </w:rPr>
        <w:t xml:space="preserve"> atender a lo que en este punto disponga el órgano competente</w:t>
      </w:r>
      <w:r>
        <w:rPr>
          <w:u w:val="single"/>
        </w:rPr>
        <w:t xml:space="preserve"> para gestionar la reducción de jornada.</w:t>
      </w:r>
    </w:p>
    <w:p w14:paraId="24D881AA" w14:textId="77777777" w:rsidR="00EC05F3" w:rsidRDefault="00EC05F3" w:rsidP="00EC05F3">
      <w:pPr>
        <w:pStyle w:val="Prrafodelista"/>
      </w:pPr>
    </w:p>
    <w:p w14:paraId="51A84EEF" w14:textId="77777777" w:rsidR="008A60C6" w:rsidRPr="00263397" w:rsidRDefault="00EC05F3" w:rsidP="00864802">
      <w:pPr>
        <w:pStyle w:val="Prrafodelista"/>
        <w:numPr>
          <w:ilvl w:val="0"/>
          <w:numId w:val="6"/>
        </w:numPr>
        <w:ind w:left="284" w:hanging="284"/>
        <w:rPr>
          <w:b/>
          <w:bCs/>
        </w:rPr>
      </w:pPr>
      <w:r w:rsidRPr="00263397">
        <w:rPr>
          <w:b/>
          <w:bCs/>
        </w:rPr>
        <w:t>¿Qué ayudas y subvenciones podemos tener específicamente por ser personal público (específicamente Generalitat)</w:t>
      </w:r>
      <w:r w:rsidR="008F0248" w:rsidRPr="00263397">
        <w:rPr>
          <w:b/>
          <w:bCs/>
        </w:rPr>
        <w:t>?</w:t>
      </w:r>
    </w:p>
    <w:p w14:paraId="335C5984" w14:textId="40E90037" w:rsidR="00681FBF" w:rsidRDefault="00681FBF" w:rsidP="008A60C6">
      <w:r>
        <w:t xml:space="preserve">Esta pregunta está fuera del ámbito de nuestras competencias. No obstante, puede realizar una consulta en </w:t>
      </w:r>
      <w:hyperlink r:id="rId11" w:history="1">
        <w:r w:rsidRPr="00EA438A">
          <w:rPr>
            <w:rStyle w:val="Hipervnculo"/>
          </w:rPr>
          <w:t>https://gvaoberta.gva.es/es/</w:t>
        </w:r>
      </w:hyperlink>
      <w:r>
        <w:t xml:space="preserve">, en el apartado de servicios a la ciudadanía. </w:t>
      </w:r>
    </w:p>
    <w:sectPr w:rsidR="00681FB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D3C7" w14:textId="77777777" w:rsidR="00813FB0" w:rsidRDefault="00813FB0" w:rsidP="00813FB0">
      <w:pPr>
        <w:spacing w:after="0" w:line="240" w:lineRule="auto"/>
      </w:pPr>
      <w:r>
        <w:separator/>
      </w:r>
    </w:p>
  </w:endnote>
  <w:endnote w:type="continuationSeparator" w:id="0">
    <w:p w14:paraId="1DE81723" w14:textId="77777777" w:rsidR="00813FB0" w:rsidRDefault="00813FB0" w:rsidP="0081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A9F2" w14:textId="77777777" w:rsidR="00813FB0" w:rsidRDefault="00813FB0" w:rsidP="00813FB0">
      <w:pPr>
        <w:spacing w:after="0" w:line="240" w:lineRule="auto"/>
      </w:pPr>
      <w:r>
        <w:separator/>
      </w:r>
    </w:p>
  </w:footnote>
  <w:footnote w:type="continuationSeparator" w:id="0">
    <w:p w14:paraId="47B472A9" w14:textId="77777777" w:rsidR="00813FB0" w:rsidRDefault="00813FB0" w:rsidP="0081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5E3C" w14:textId="1131F9D4" w:rsidR="00813FB0" w:rsidRDefault="006A5EDA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752D60A" wp14:editId="61F24693">
          <wp:simplePos x="0" y="0"/>
          <wp:positionH relativeFrom="column">
            <wp:posOffset>3453765</wp:posOffset>
          </wp:positionH>
          <wp:positionV relativeFrom="paragraph">
            <wp:posOffset>131445</wp:posOffset>
          </wp:positionV>
          <wp:extent cx="1362075" cy="398780"/>
          <wp:effectExtent l="0" t="0" r="952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7637FD35" wp14:editId="454A077E">
          <wp:simplePos x="0" y="0"/>
          <wp:positionH relativeFrom="page">
            <wp:posOffset>2847340</wp:posOffset>
          </wp:positionH>
          <wp:positionV relativeFrom="page">
            <wp:posOffset>551815</wp:posOffset>
          </wp:positionV>
          <wp:extent cx="1342390" cy="542925"/>
          <wp:effectExtent l="0" t="0" r="0" b="9525"/>
          <wp:wrapNone/>
          <wp:docPr id="6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23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C94A3" w14:textId="5FFB389B" w:rsidR="00813FB0" w:rsidRDefault="00813FB0">
    <w:pPr>
      <w:pStyle w:val="Encabezado"/>
    </w:pPr>
  </w:p>
  <w:p w14:paraId="6A4E21A0" w14:textId="4CD0C2A9" w:rsidR="00813FB0" w:rsidRDefault="00813FB0">
    <w:pPr>
      <w:pStyle w:val="Encabezado"/>
    </w:pPr>
  </w:p>
  <w:p w14:paraId="05599070" w14:textId="77777777" w:rsidR="006A5EDA" w:rsidRDefault="006A5EDA">
    <w:pPr>
      <w:pStyle w:val="Encabezado"/>
    </w:pPr>
  </w:p>
  <w:p w14:paraId="1663497C" w14:textId="515E6A2F" w:rsidR="006A5EDA" w:rsidRDefault="006A5EDA">
    <w:pPr>
      <w:pStyle w:val="Encabezado"/>
    </w:pPr>
    <w:r w:rsidRPr="00851779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1BAFA1" wp14:editId="694C0978">
              <wp:simplePos x="0" y="0"/>
              <wp:positionH relativeFrom="margin">
                <wp:posOffset>4053205</wp:posOffset>
              </wp:positionH>
              <wp:positionV relativeFrom="paragraph">
                <wp:posOffset>49530</wp:posOffset>
              </wp:positionV>
              <wp:extent cx="1388745" cy="4667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953D8" w14:textId="77777777" w:rsidR="00813FB0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</w:p>
                        <w:p w14:paraId="61CE0522" w14:textId="3777EDC4" w:rsidR="00813FB0" w:rsidRPr="00B40395" w:rsidRDefault="00813FB0" w:rsidP="00813FB0">
                          <w:pPr>
                            <w:spacing w:after="0"/>
                            <w:jc w:val="right"/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Matinals</w:t>
                          </w:r>
                          <w:proofErr w:type="spellEnd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Roboto Black" w:hAnsi="Roboto Black"/>
                              <w:b/>
                              <w:bCs/>
                              <w:color w:val="C70E2D"/>
                              <w:szCs w:val="24"/>
                            </w:rPr>
                            <w:t>l’IVAP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BAF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9.15pt;margin-top:3.9pt;width:109.3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Lx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" filled="f" stroked="f">
              <v:textbox>
                <w:txbxContent>
                  <w:p w14:paraId="0EE953D8" w14:textId="77777777" w:rsidR="00813FB0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</w:p>
                  <w:p w14:paraId="61CE0522" w14:textId="3777EDC4" w:rsidR="00813FB0" w:rsidRPr="00B40395" w:rsidRDefault="00813FB0" w:rsidP="00813FB0">
                    <w:pPr>
                      <w:spacing w:after="0"/>
                      <w:jc w:val="right"/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</w:pP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Matinals</w:t>
                    </w:r>
                    <w:proofErr w:type="spellEnd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Fonts w:ascii="Roboto Black" w:hAnsi="Roboto Black"/>
                        <w:b/>
                        <w:bCs/>
                        <w:color w:val="C70E2D"/>
                        <w:szCs w:val="24"/>
                      </w:rPr>
                      <w:t>l’IVAP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45EE77" w14:textId="77777777" w:rsidR="006A5EDA" w:rsidRDefault="006A5EDA">
    <w:pPr>
      <w:pStyle w:val="Encabezado"/>
    </w:pPr>
  </w:p>
  <w:p w14:paraId="35DE0B48" w14:textId="7A06E9D8" w:rsidR="00813FB0" w:rsidRDefault="00813FB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6077187" wp14:editId="6C875507">
              <wp:simplePos x="0" y="0"/>
              <wp:positionH relativeFrom="page">
                <wp:align>left</wp:align>
              </wp:positionH>
              <wp:positionV relativeFrom="margin">
                <wp:posOffset>-130614</wp:posOffset>
              </wp:positionV>
              <wp:extent cx="7559040" cy="107950"/>
              <wp:effectExtent l="0" t="0" r="22860" b="6350"/>
              <wp:wrapNone/>
              <wp:docPr id="242" name="Grupo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7950"/>
                        <a:chOff x="0" y="1701"/>
                        <a:chExt cx="11904" cy="170"/>
                      </a:xfrm>
                    </wpg:grpSpPr>
                    <wps:wsp>
                      <wps:cNvPr id="64" name="Line 2"/>
                      <wps:cNvCnPr>
                        <a:cxnSpLocks noChangeShapeType="1"/>
                      </wps:cNvCnPr>
                      <wps:spPr bwMode="auto">
                        <a:xfrm>
                          <a:off x="0" y="1863"/>
                          <a:ext cx="1190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84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docshape14"/>
                      <wps:cNvSpPr>
                        <a:spLocks noChangeArrowheads="1"/>
                      </wps:cNvSpPr>
                      <wps:spPr bwMode="auto">
                        <a:xfrm>
                          <a:off x="0" y="1700"/>
                          <a:ext cx="11904" cy="141"/>
                        </a:xfrm>
                        <a:prstGeom prst="rect">
                          <a:avLst/>
                        </a:prstGeom>
                        <a:solidFill>
                          <a:srgbClr val="C70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10814" id="Grupo 242" o:spid="_x0000_s1026" style="position:absolute;margin-left:0;margin-top:-10.3pt;width:595.2pt;height:8.5pt;z-index:-251651072;mso-position-horizontal:left;mso-position-horizontal-relative:page;mso-position-vertical-relative:margin" coordorigin=",1701" coordsize="11904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">
              <v:line id="Line 2" o:spid="_x0000_s1027" style="position:absolute;visibility:visible;mso-wrap-style:square" from="0,1863" to="11904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" strokecolor="#f84d54"/>
              <v:rect id="docshape14" o:spid="_x0000_s1028" style="position:absolute;top:1700;width:11904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" fillcolor="#c70e2d" stroked="f"/>
              <w10:wrap anchorx="page" anchory="margin"/>
            </v:group>
          </w:pict>
        </mc:Fallback>
      </mc:AlternateContent>
    </w:r>
  </w:p>
  <w:p w14:paraId="3A819807" w14:textId="31DCA823" w:rsidR="00813FB0" w:rsidRDefault="00813FB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33556FC" wp14:editId="5056CEB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533525" cy="639445"/>
          <wp:effectExtent l="0" t="0" r="9525" b="8255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24AB"/>
    <w:multiLevelType w:val="hybridMultilevel"/>
    <w:tmpl w:val="45D8FB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D23C21"/>
    <w:multiLevelType w:val="hybridMultilevel"/>
    <w:tmpl w:val="DC1E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426"/>
    <w:multiLevelType w:val="hybridMultilevel"/>
    <w:tmpl w:val="05AE3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EAA"/>
    <w:multiLevelType w:val="hybridMultilevel"/>
    <w:tmpl w:val="51102AB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375891"/>
    <w:multiLevelType w:val="hybridMultilevel"/>
    <w:tmpl w:val="8376A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2EC4"/>
    <w:multiLevelType w:val="hybridMultilevel"/>
    <w:tmpl w:val="B916F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18200">
    <w:abstractNumId w:val="2"/>
  </w:num>
  <w:num w:numId="2" w16cid:durableId="1220216009">
    <w:abstractNumId w:val="4"/>
  </w:num>
  <w:num w:numId="3" w16cid:durableId="1900166007">
    <w:abstractNumId w:val="5"/>
  </w:num>
  <w:num w:numId="4" w16cid:durableId="609319153">
    <w:abstractNumId w:val="0"/>
  </w:num>
  <w:num w:numId="5" w16cid:durableId="527258993">
    <w:abstractNumId w:val="3"/>
  </w:num>
  <w:num w:numId="6" w16cid:durableId="96358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B0"/>
    <w:rsid w:val="00064F81"/>
    <w:rsid w:val="00074A84"/>
    <w:rsid w:val="000A378F"/>
    <w:rsid w:val="000C3752"/>
    <w:rsid w:val="00162A6C"/>
    <w:rsid w:val="001D7533"/>
    <w:rsid w:val="0022574E"/>
    <w:rsid w:val="00257D14"/>
    <w:rsid w:val="00263397"/>
    <w:rsid w:val="00470033"/>
    <w:rsid w:val="00681FBF"/>
    <w:rsid w:val="006A0166"/>
    <w:rsid w:val="006A5EDA"/>
    <w:rsid w:val="00751637"/>
    <w:rsid w:val="007851CB"/>
    <w:rsid w:val="00813FB0"/>
    <w:rsid w:val="00864802"/>
    <w:rsid w:val="008A60C6"/>
    <w:rsid w:val="008A7574"/>
    <w:rsid w:val="008F0248"/>
    <w:rsid w:val="008F5923"/>
    <w:rsid w:val="009627B5"/>
    <w:rsid w:val="00A52501"/>
    <w:rsid w:val="00B53915"/>
    <w:rsid w:val="00C22AF5"/>
    <w:rsid w:val="00CF3485"/>
    <w:rsid w:val="00D26813"/>
    <w:rsid w:val="00D41C4B"/>
    <w:rsid w:val="00E04011"/>
    <w:rsid w:val="00E951C6"/>
    <w:rsid w:val="00EC05F3"/>
    <w:rsid w:val="00FA284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BD51"/>
  <w15:chartTrackingRefBased/>
  <w15:docId w15:val="{31B617D9-4871-412C-ACC5-BEFC9ED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5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4F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B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FB0"/>
  </w:style>
  <w:style w:type="paragraph" w:styleId="Piedepgina">
    <w:name w:val="footer"/>
    <w:basedOn w:val="Normal"/>
    <w:link w:val="PiedepginaCar"/>
    <w:uiPriority w:val="99"/>
    <w:unhideWhenUsed/>
    <w:rsid w:val="0081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B0"/>
  </w:style>
  <w:style w:type="paragraph" w:styleId="Prrafodelista">
    <w:name w:val="List Paragraph"/>
    <w:basedOn w:val="Normal"/>
    <w:uiPriority w:val="34"/>
    <w:qFormat/>
    <w:rsid w:val="00813F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37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375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375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59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4F8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ciona.gva.es/documents/172868368/175543380/14_Recomendaciones+para+la+protecci%C3%B3n+de+datos+de+las+mujeres+v%C3%ADctimas+de+violencia+de+g%C3%A9nero+y+otros+tipos+de+violencia+en+su+relaci%C3%B3n+con+la+Administraci%C3%B3n+de+la+Generalitat+y+su+sector+p%C3%BAblico+instrumental_8+de+marzo+de+2023/6aa0f323-8653-411b-8239-89d8de1338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nciona.gva.es/es/web/proteccio-de-dades-personals/formaci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vaoberta.gva.es/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unciona.gva.es/documents/172868368/175543380/04_Recomendaciones+subvenciones_10+de+marzo+de+2023/79ac5e76-0c42-4fd7-a3b2-f95b53777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ciona.gva.es/documents/172868368/175543380/04_Recomendaciones+subvenciones_10+de+marzo+de+2023/79ac5e76-0c42-4fd7-a3b2-f95b5377756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1715</Words>
  <Characters>9433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PALOMAR ABAD, BEGOÑA</dc:creator>
  <cp:keywords/>
  <dc:description/>
  <cp:lastModifiedBy>PALOMAR ABAD, BEGOÑA</cp:lastModifiedBy>
  <cp:revision>2</cp:revision>
  <dcterms:created xsi:type="dcterms:W3CDTF">2023-06-07T05:38:00Z</dcterms:created>
  <dcterms:modified xsi:type="dcterms:W3CDTF">2023-06-07T05:38:00Z</dcterms:modified>
</cp:coreProperties>
</file>